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7C69B" w14:textId="79F8CDB3" w:rsidR="00C82695" w:rsidRPr="00C82695" w:rsidRDefault="008D19CE" w:rsidP="0038798B">
      <w:pPr>
        <w:pStyle w:val="Text"/>
        <w:spacing w:after="0"/>
        <w:ind w:firstLine="0"/>
        <w:rPr>
          <w:rFonts w:ascii="Trebuchet MS" w:hAnsi="Trebuchet MS" w:cs="Calibri"/>
          <w:sz w:val="22"/>
          <w:szCs w:val="22"/>
          <w:lang w:val="pl-PL"/>
        </w:rPr>
      </w:pPr>
      <w:r w:rsidRPr="00C82695">
        <w:rPr>
          <w:rFonts w:ascii="Trebuchet MS" w:hAnsi="Trebuchet MS" w:cs="Calibri"/>
          <w:b/>
          <w:sz w:val="22"/>
          <w:szCs w:val="22"/>
          <w:lang w:val="pl-PL"/>
        </w:rPr>
        <w:t xml:space="preserve">Załącznik nr </w:t>
      </w:r>
      <w:r w:rsidR="00F72581">
        <w:rPr>
          <w:rFonts w:ascii="Trebuchet MS" w:hAnsi="Trebuchet MS" w:cs="Calibri"/>
          <w:b/>
          <w:sz w:val="22"/>
          <w:szCs w:val="22"/>
          <w:lang w:val="pl-PL"/>
        </w:rPr>
        <w:t>3</w:t>
      </w:r>
      <w:bookmarkStart w:id="0" w:name="_GoBack"/>
      <w:bookmarkEnd w:id="0"/>
    </w:p>
    <w:p w14:paraId="187AF50A" w14:textId="12F54E56" w:rsidR="008D19CE" w:rsidRPr="0038798B" w:rsidRDefault="00C82695" w:rsidP="008D19CE">
      <w:pPr>
        <w:pStyle w:val="Text"/>
        <w:ind w:firstLine="0"/>
        <w:rPr>
          <w:rFonts w:ascii="Trebuchet MS" w:hAnsi="Trebuchet MS" w:cs="Calibri"/>
          <w:b/>
          <w:sz w:val="22"/>
          <w:szCs w:val="22"/>
          <w:lang w:val="pl-PL"/>
        </w:rPr>
      </w:pPr>
      <w:r w:rsidRPr="0038798B">
        <w:rPr>
          <w:rFonts w:ascii="Trebuchet MS" w:hAnsi="Trebuchet MS"/>
          <w:b/>
          <w:noProof/>
          <w:sz w:val="22"/>
          <w:szCs w:val="22"/>
          <w:lang w:val="pl-PL" w:eastAsia="pl-PL"/>
        </w:rPr>
        <w:drawing>
          <wp:anchor distT="0" distB="0" distL="114300" distR="114300" simplePos="0" relativeHeight="251659264" behindDoc="0" locked="0" layoutInCell="1" allowOverlap="1" wp14:anchorId="55250AB4" wp14:editId="34EB8E78">
            <wp:simplePos x="0" y="0"/>
            <wp:positionH relativeFrom="column">
              <wp:posOffset>276860</wp:posOffset>
            </wp:positionH>
            <wp:positionV relativeFrom="paragraph">
              <wp:posOffset>397510</wp:posOffset>
            </wp:positionV>
            <wp:extent cx="5029200" cy="1116330"/>
            <wp:effectExtent l="0" t="0" r="0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11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17341C" w14:textId="77777777" w:rsidR="008D19CE" w:rsidRPr="00C82695" w:rsidRDefault="008D19CE" w:rsidP="008D19CE">
      <w:pPr>
        <w:pStyle w:val="Text"/>
        <w:ind w:firstLine="0"/>
        <w:rPr>
          <w:rFonts w:ascii="Trebuchet MS" w:hAnsi="Trebuchet MS" w:cs="Arial"/>
          <w:sz w:val="22"/>
          <w:szCs w:val="22"/>
          <w:lang w:val="pl-PL"/>
        </w:rPr>
      </w:pPr>
    </w:p>
    <w:p w14:paraId="5536E7D8" w14:textId="77777777" w:rsidR="008D19CE" w:rsidRPr="00C82695" w:rsidRDefault="008D19CE" w:rsidP="008D19CE">
      <w:pPr>
        <w:pStyle w:val="Text"/>
        <w:ind w:firstLine="0"/>
        <w:rPr>
          <w:rFonts w:ascii="Trebuchet MS" w:hAnsi="Trebuchet MS" w:cs="Arial"/>
          <w:sz w:val="22"/>
          <w:szCs w:val="22"/>
          <w:lang w:val="pl-PL"/>
        </w:rPr>
      </w:pPr>
    </w:p>
    <w:p w14:paraId="366922DC" w14:textId="77777777" w:rsidR="008D19CE" w:rsidRPr="00C82695" w:rsidRDefault="008D19CE" w:rsidP="008D19CE">
      <w:pPr>
        <w:spacing w:after="60"/>
        <w:jc w:val="both"/>
        <w:rPr>
          <w:rFonts w:ascii="Trebuchet MS" w:hAnsi="Trebuchet MS" w:cs="Calibri"/>
        </w:rPr>
      </w:pPr>
    </w:p>
    <w:p w14:paraId="7A6B2025" w14:textId="77777777" w:rsidR="008D19CE" w:rsidRPr="00C82695" w:rsidRDefault="008D19CE" w:rsidP="008D19CE">
      <w:pPr>
        <w:tabs>
          <w:tab w:val="left" w:pos="900"/>
        </w:tabs>
        <w:spacing w:after="0" w:line="240" w:lineRule="auto"/>
        <w:jc w:val="both"/>
        <w:rPr>
          <w:rFonts w:ascii="Trebuchet MS" w:eastAsia="Times New Roman" w:hAnsi="Trebuchet MS" w:cs="Calibri"/>
          <w:b/>
          <w:lang w:eastAsia="pl-PL"/>
        </w:rPr>
      </w:pPr>
      <w:r w:rsidRPr="00C82695">
        <w:rPr>
          <w:rFonts w:ascii="Trebuchet MS" w:eastAsia="Times New Roman" w:hAnsi="Trebuchet MS" w:cs="Calibri"/>
          <w:lang w:eastAsia="pl-PL"/>
        </w:rPr>
        <w:tab/>
      </w:r>
      <w:r w:rsidRPr="00C82695">
        <w:rPr>
          <w:rFonts w:ascii="Trebuchet MS" w:eastAsia="Times New Roman" w:hAnsi="Trebuchet MS" w:cs="Calibri"/>
          <w:lang w:eastAsia="pl-PL"/>
        </w:rPr>
        <w:tab/>
      </w:r>
      <w:r w:rsidRPr="00C82695">
        <w:rPr>
          <w:rFonts w:ascii="Trebuchet MS" w:eastAsia="Times New Roman" w:hAnsi="Trebuchet MS" w:cs="Calibri"/>
          <w:lang w:eastAsia="pl-PL"/>
        </w:rPr>
        <w:tab/>
      </w:r>
      <w:r w:rsidRPr="00C82695">
        <w:rPr>
          <w:rFonts w:ascii="Trebuchet MS" w:eastAsia="Times New Roman" w:hAnsi="Trebuchet MS" w:cs="Calibri"/>
          <w:lang w:eastAsia="pl-PL"/>
        </w:rPr>
        <w:tab/>
      </w:r>
    </w:p>
    <w:p w14:paraId="7ABD1D8E" w14:textId="77777777" w:rsidR="008D19CE" w:rsidRPr="00C82695" w:rsidRDefault="008D19CE" w:rsidP="008D19CE">
      <w:pPr>
        <w:spacing w:after="60"/>
        <w:jc w:val="both"/>
        <w:rPr>
          <w:rFonts w:ascii="Trebuchet MS" w:hAnsi="Trebuchet MS" w:cs="Calibri"/>
        </w:rPr>
      </w:pPr>
    </w:p>
    <w:p w14:paraId="1BAF9832" w14:textId="77777777" w:rsidR="00C96425" w:rsidRPr="003E7CCF" w:rsidRDefault="00C96425" w:rsidP="00C96425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Calibri"/>
          <w:b/>
          <w:bCs/>
          <w:kern w:val="36"/>
          <w:sz w:val="32"/>
          <w:lang w:eastAsia="pl-PL"/>
        </w:rPr>
      </w:pPr>
      <w:r w:rsidRPr="003E7CCF">
        <w:rPr>
          <w:rFonts w:eastAsia="Times New Roman" w:cs="Calibri"/>
          <w:b/>
          <w:bCs/>
          <w:kern w:val="36"/>
          <w:sz w:val="32"/>
          <w:lang w:eastAsia="pl-PL"/>
        </w:rPr>
        <w:t>Zasady przetwarzania danych osobowych w Programie Operacyjnym Polska Cyfrowa 2014-2020</w:t>
      </w:r>
    </w:p>
    <w:p w14:paraId="3A6E7362" w14:textId="2FD44538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W przetwarzanie danych osobowych w ramach Programu Operacyjnego Polska Cyfrowa 2014-2020 (POPC 2014-2020) zaangażowane są podmioty, które pełnią rolę administratorów w rozumieniu </w:t>
      </w:r>
      <w:r w:rsidRPr="003E7CCF">
        <w:rPr>
          <w:rFonts w:eastAsia="Times New Roman" w:cs="Calibri"/>
          <w:b/>
          <w:lang w:eastAsia="pl-PL"/>
        </w:rPr>
        <w:t>RODO</w:t>
      </w:r>
      <w:r w:rsidRPr="003E7CCF">
        <w:rPr>
          <w:rFonts w:eastAsia="Times New Roman" w:cs="Calibri"/>
          <w:lang w:eastAsia="pl-PL"/>
        </w:rPr>
        <w:t xml:space="preserve"> [Rozporządzenie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 z dnia 27 kwietnia 2016 r. (Dz. Urz. UE. L Nr 119, str. 1).]. Podmioty te podejmują decyzje dotyczące przetwarzanych danych osobowych, tj.: jakie dane osobowe, w jakim celu i w jaki sposób są przetwarzane. K</w:t>
      </w:r>
      <w:r w:rsidRPr="003E7CCF">
        <w:rPr>
          <w:rFonts w:cs="Calibri"/>
        </w:rPr>
        <w:t>ażdy administrator samodzielnie odpowiada za ochronę danych osobowych oraz za informowanie osób, których dane dotyczą, i społeczeństwa o tym, w jaki sposób przetwarza dane osobowe.</w:t>
      </w:r>
    </w:p>
    <w:p w14:paraId="3A4D3970" w14:textId="6AB9303A" w:rsidR="00C96425" w:rsidRPr="007B0AFF" w:rsidRDefault="0038798B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b/>
          <w:bCs/>
          <w:lang w:eastAsia="pl-PL"/>
        </w:rPr>
      </w:pPr>
      <w:r w:rsidRPr="0038798B">
        <w:rPr>
          <w:rFonts w:eastAsia="Times New Roman" w:cs="Calibri"/>
          <w:b/>
          <w:bCs/>
          <w:lang w:eastAsia="pl-PL"/>
        </w:rPr>
        <w:t>Minister</w:t>
      </w:r>
      <w:r w:rsidR="001929A3">
        <w:rPr>
          <w:rFonts w:eastAsia="Times New Roman" w:cs="Calibri"/>
          <w:b/>
          <w:bCs/>
          <w:lang w:eastAsia="pl-PL"/>
        </w:rPr>
        <w:t xml:space="preserve"> Finansów,</w:t>
      </w:r>
      <w:r w:rsidRPr="0038798B">
        <w:rPr>
          <w:rFonts w:eastAsia="Times New Roman" w:cs="Calibri"/>
          <w:b/>
          <w:bCs/>
          <w:lang w:eastAsia="pl-PL"/>
        </w:rPr>
        <w:t xml:space="preserve"> Funduszy i Polityki Regionalnej</w:t>
      </w:r>
      <w:r>
        <w:rPr>
          <w:rFonts w:eastAsia="Times New Roman" w:cs="Calibri"/>
          <w:b/>
          <w:bCs/>
          <w:lang w:eastAsia="pl-PL"/>
        </w:rPr>
        <w:t xml:space="preserve"> </w:t>
      </w:r>
      <w:r w:rsidR="00C96425" w:rsidRPr="003E7CCF">
        <w:rPr>
          <w:rFonts w:eastAsia="Times New Roman" w:cs="Calibri"/>
          <w:b/>
          <w:bCs/>
          <w:lang w:eastAsia="pl-PL"/>
        </w:rPr>
        <w:t>- jako Instytucja Zarządzająca POPC 2014-2020, pełni rolę administratora danych osobowych przetwarzanych w związku z realizacją POPC 2014-2020</w:t>
      </w:r>
      <w:r w:rsidR="00C96425" w:rsidRPr="003E7CCF">
        <w:rPr>
          <w:rFonts w:eastAsia="Times New Roman" w:cs="Calibri"/>
          <w:lang w:eastAsia="pl-PL"/>
        </w:rPr>
        <w:t>.</w:t>
      </w:r>
    </w:p>
    <w:p w14:paraId="3FA1586D" w14:textId="77777777" w:rsidR="00C96425" w:rsidRPr="00910270" w:rsidRDefault="00C96425" w:rsidP="006D5B13">
      <w:pPr>
        <w:spacing w:before="100" w:beforeAutospacing="1" w:after="100" w:afterAutospacing="1" w:line="240" w:lineRule="auto"/>
        <w:jc w:val="both"/>
      </w:pPr>
      <w:r w:rsidRPr="003E7CCF">
        <w:rPr>
          <w:rFonts w:cs="Calibri"/>
        </w:rPr>
        <w:t xml:space="preserve">Ponadto Minister, jako jeden z </w:t>
      </w:r>
      <w:r w:rsidRPr="003E7CCF">
        <w:rPr>
          <w:rStyle w:val="Pogrubienie"/>
          <w:rFonts w:cs="Calibri"/>
        </w:rPr>
        <w:t xml:space="preserve">beneficjentów </w:t>
      </w:r>
      <w:r w:rsidRPr="003E7CCF">
        <w:rPr>
          <w:rFonts w:cs="Calibri"/>
        </w:rPr>
        <w:t>projektów realizowanych ze środków pomocy technicznej w ramach POPC 2014-2020 jest administratorem danych osobowych, przetwarzanych w tym zakresie</w:t>
      </w:r>
      <w:r w:rsidRPr="00910270">
        <w:t>.</w:t>
      </w:r>
    </w:p>
    <w:p w14:paraId="2BCA262A" w14:textId="1D5B41CF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Minister</w:t>
      </w:r>
      <w:r w:rsidR="001929A3">
        <w:rPr>
          <w:rFonts w:eastAsia="Times New Roman" w:cs="Calibri"/>
          <w:lang w:eastAsia="pl-PL"/>
        </w:rPr>
        <w:t xml:space="preserve"> Finansów,</w:t>
      </w:r>
      <w:r w:rsidRPr="003E7CCF">
        <w:rPr>
          <w:rFonts w:eastAsia="Times New Roman" w:cs="Calibri"/>
          <w:lang w:eastAsia="pl-PL"/>
        </w:rPr>
        <w:t xml:space="preserve"> </w:t>
      </w:r>
      <w:r w:rsidR="0038798B" w:rsidRPr="007B0AFF">
        <w:rPr>
          <w:rFonts w:eastAsia="Times New Roman" w:cs="Calibri"/>
          <w:bCs/>
          <w:lang w:eastAsia="pl-PL"/>
        </w:rPr>
        <w:t>Funduszy i Polityki Regionalnej</w:t>
      </w:r>
      <w:r w:rsidR="0038798B" w:rsidRPr="0038798B">
        <w:rPr>
          <w:rFonts w:eastAsia="Times New Roman" w:cs="Calibri"/>
          <w:b/>
          <w:bCs/>
          <w:lang w:eastAsia="pl-PL"/>
        </w:rPr>
        <w:t xml:space="preserve"> </w:t>
      </w:r>
      <w:r w:rsidRPr="003E7CCF">
        <w:rPr>
          <w:rFonts w:eastAsia="Times New Roman" w:cs="Calibri"/>
          <w:lang w:eastAsia="pl-PL"/>
        </w:rPr>
        <w:t xml:space="preserve">jest również administratorem danych zgromadzonych w zarządzanym przez niego </w:t>
      </w:r>
      <w:r w:rsidRPr="003E7CCF">
        <w:rPr>
          <w:rFonts w:eastAsia="Times New Roman" w:cs="Calibri"/>
          <w:b/>
          <w:lang w:eastAsia="pl-PL"/>
        </w:rPr>
        <w:t>Centralnym Systemie Teleinformatycznym</w:t>
      </w:r>
      <w:r w:rsidRPr="003E7CCF">
        <w:rPr>
          <w:rFonts w:eastAsia="Times New Roman" w:cs="Calibri"/>
          <w:lang w:eastAsia="pl-PL"/>
        </w:rPr>
        <w:t xml:space="preserve"> wspierającym realizację POPC 2014-2020.</w:t>
      </w:r>
    </w:p>
    <w:p w14:paraId="0526E790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I. Cel przetwarzania danych osobowych</w:t>
      </w:r>
    </w:p>
    <w:p w14:paraId="408E2BAC" w14:textId="04E455F5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Minister </w:t>
      </w:r>
      <w:r w:rsidR="001929A3">
        <w:rPr>
          <w:rFonts w:eastAsia="Times New Roman" w:cs="Calibri"/>
          <w:lang w:eastAsia="pl-PL"/>
        </w:rPr>
        <w:t xml:space="preserve">Finansów, </w:t>
      </w:r>
      <w:r w:rsidR="0038798B" w:rsidRPr="0038798B">
        <w:rPr>
          <w:rFonts w:eastAsia="Times New Roman" w:cs="Calibri"/>
          <w:lang w:eastAsia="pl-PL"/>
        </w:rPr>
        <w:t xml:space="preserve">Funduszy i Polityki Regionalnej </w:t>
      </w:r>
      <w:r w:rsidRPr="003E7CCF">
        <w:rPr>
          <w:rFonts w:eastAsia="Times New Roman" w:cs="Calibri"/>
          <w:lang w:eastAsia="pl-PL"/>
        </w:rPr>
        <w:t>przetwarza dane osobowe</w:t>
      </w:r>
      <w:r w:rsidRPr="003E7CCF">
        <w:rPr>
          <w:rFonts w:eastAsia="Times New Roman" w:cs="Calibri"/>
          <w:b/>
          <w:bCs/>
          <w:lang w:eastAsia="pl-PL"/>
        </w:rPr>
        <w:t xml:space="preserve"> w celu realizacji zadań przypisanych Instytucji Zarządzającej POPC 2014-2020 ,</w:t>
      </w:r>
      <w:r w:rsidRPr="003E7CCF">
        <w:rPr>
          <w:rFonts w:eastAsia="Times New Roman" w:cs="Calibri"/>
          <w:lang w:eastAsia="pl-PL"/>
        </w:rPr>
        <w:t xml:space="preserve"> w zakresie w jakim jest to niezbędne dla realizacji tego celu. Minister </w:t>
      </w:r>
      <w:r w:rsidR="00322BEA">
        <w:rPr>
          <w:rFonts w:eastAsia="Times New Roman" w:cs="Calibri"/>
          <w:lang w:eastAsia="pl-PL"/>
        </w:rPr>
        <w:t xml:space="preserve">Finansów, </w:t>
      </w:r>
      <w:r w:rsidR="0038798B" w:rsidRPr="0038798B">
        <w:rPr>
          <w:rFonts w:eastAsia="Times New Roman" w:cs="Calibri"/>
          <w:lang w:eastAsia="pl-PL"/>
        </w:rPr>
        <w:t xml:space="preserve">Funduszy i Polityki Regionalnej </w:t>
      </w:r>
      <w:r w:rsidRPr="003E7CCF">
        <w:rPr>
          <w:rFonts w:eastAsia="Times New Roman" w:cs="Calibri"/>
          <w:lang w:eastAsia="pl-PL"/>
        </w:rPr>
        <w:t xml:space="preserve">przetwarza dane osobowe </w:t>
      </w:r>
      <w:r w:rsidRPr="003E7CCF">
        <w:rPr>
          <w:rFonts w:eastAsia="Times New Roman" w:cs="Calibri"/>
          <w:b/>
          <w:bCs/>
          <w:lang w:eastAsia="pl-PL"/>
        </w:rPr>
        <w:t>w szczególności w celach</w:t>
      </w:r>
      <w:r w:rsidRPr="003E7CCF">
        <w:rPr>
          <w:rFonts w:eastAsia="Times New Roman" w:cs="Calibri"/>
          <w:lang w:eastAsia="pl-PL"/>
        </w:rPr>
        <w:t>:</w:t>
      </w:r>
    </w:p>
    <w:p w14:paraId="292E2D58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udzielania wsparcia beneficjentom ubiegającym się o dofinansowanie i realizującym projekty,</w:t>
      </w:r>
    </w:p>
    <w:p w14:paraId="6B8E43DC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potwierdzania kwalifikowalności wydatków,</w:t>
      </w:r>
    </w:p>
    <w:p w14:paraId="4BCE4648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wnioskowania o płatności do Komisji Europejskiej,</w:t>
      </w:r>
    </w:p>
    <w:p w14:paraId="436B1FA2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raportowania o nieprawidłowościach,</w:t>
      </w:r>
    </w:p>
    <w:p w14:paraId="7FA95DC5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ewaluacji,</w:t>
      </w:r>
    </w:p>
    <w:p w14:paraId="1F7F3931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monitoringu,</w:t>
      </w:r>
    </w:p>
    <w:p w14:paraId="6EC1D28E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kontroli,</w:t>
      </w:r>
    </w:p>
    <w:p w14:paraId="1CB795E9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audytu,</w:t>
      </w:r>
    </w:p>
    <w:p w14:paraId="49FEDD17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lastRenderedPageBreak/>
        <w:t>sprawozdawczości oraz</w:t>
      </w:r>
    </w:p>
    <w:p w14:paraId="5174A634" w14:textId="77777777" w:rsidR="00C96425" w:rsidRPr="003E7CCF" w:rsidRDefault="00C96425" w:rsidP="006D5B13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 działań informacyjno-promocyjnych.</w:t>
      </w:r>
    </w:p>
    <w:p w14:paraId="0318F37C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II. Podstawy prawne przetwarzania</w:t>
      </w:r>
    </w:p>
    <w:p w14:paraId="6F41804F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lang w:eastAsia="pl-PL"/>
        </w:rPr>
        <w:t>Przetwarzanie danych osobowych w związku z realizacją POPC 2014-2020 odbywa się zgodnie z RODO</w:t>
      </w:r>
      <w:r w:rsidRPr="003E7CCF">
        <w:rPr>
          <w:rFonts w:eastAsia="Times New Roman" w:cs="Calibri"/>
          <w:lang w:eastAsia="pl-PL"/>
        </w:rPr>
        <w:t>.</w:t>
      </w:r>
    </w:p>
    <w:p w14:paraId="3EE4539B" w14:textId="7E93554E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Podstawą prawną przetwarzania danych jest konieczność </w:t>
      </w:r>
      <w:r w:rsidRPr="003E7CCF">
        <w:rPr>
          <w:rFonts w:eastAsia="Times New Roman" w:cs="Calibri"/>
          <w:b/>
          <w:bCs/>
          <w:lang w:eastAsia="pl-PL"/>
        </w:rPr>
        <w:t xml:space="preserve">realizacji obowiązków spoczywających na Ministrze </w:t>
      </w:r>
      <w:r w:rsidR="001929A3">
        <w:rPr>
          <w:rFonts w:eastAsia="Times New Roman" w:cs="Calibri"/>
          <w:b/>
          <w:bCs/>
          <w:lang w:eastAsia="pl-PL"/>
        </w:rPr>
        <w:t xml:space="preserve">Finansów, </w:t>
      </w:r>
      <w:r w:rsidR="0038798B" w:rsidRPr="0038798B">
        <w:rPr>
          <w:rFonts w:eastAsia="Times New Roman" w:cs="Calibri"/>
          <w:b/>
          <w:bCs/>
          <w:lang w:eastAsia="pl-PL"/>
        </w:rPr>
        <w:t xml:space="preserve">Funduszy i Polityki Regionalnej </w:t>
      </w:r>
      <w:r w:rsidRPr="003E7CCF">
        <w:rPr>
          <w:rFonts w:eastAsia="Times New Roman" w:cs="Calibri"/>
          <w:b/>
          <w:bCs/>
          <w:lang w:eastAsia="pl-PL"/>
        </w:rPr>
        <w:t>- jako na Instytucji Zarządzającej - na podstawie przepisów prawa europejskiego i krajowego</w:t>
      </w:r>
      <w:r w:rsidRPr="003E7CCF">
        <w:rPr>
          <w:rFonts w:eastAsia="Times New Roman" w:cs="Calibri"/>
          <w:lang w:eastAsia="pl-PL"/>
        </w:rPr>
        <w:t xml:space="preserve"> (art. 6 ust. 1 lit. c RODO).</w:t>
      </w:r>
    </w:p>
    <w:p w14:paraId="58684A48" w14:textId="77777777" w:rsidR="00C96425" w:rsidRPr="003E7CCF" w:rsidRDefault="00C96425" w:rsidP="006D5B1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F58AA">
        <w:t>Obowiązki te wynikają m.in. z przepisów ustawy z dnia 11 lipca 2014 r. o zasadach realizacji programów w zakresie polityki spójności finansowanych w perspektywie finansowej 2014-2020 oraz przepisów prawa europejskiego:</w:t>
      </w:r>
    </w:p>
    <w:p w14:paraId="33F6985B" w14:textId="77777777" w:rsidR="00C96425" w:rsidRPr="003E7CCF" w:rsidRDefault="00C96425" w:rsidP="006D5B13">
      <w:pPr>
        <w:numPr>
          <w:ilvl w:val="1"/>
          <w:numId w:val="10"/>
        </w:numPr>
        <w:tabs>
          <w:tab w:val="clear" w:pos="1440"/>
        </w:tabs>
        <w:spacing w:before="100" w:beforeAutospacing="1" w:after="100" w:afterAutospacing="1" w:line="240" w:lineRule="auto"/>
        <w:ind w:left="709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rozporządzenia Parlamentu Europejskiego i Rady nr 1303/2013 z dnia 17 grudnia 2013 r. ustanawiającego wspólne przepisy dotyczące Europejskiego Funduszu Rozwoju Regionalnego, Europejskiego Funduszu Społecznego, Funduszu Spójności, Europejskiego Funduszu Rolnego na rzecz Rozwoju Obszarów Wiejskich oraz Europejskiego Funduszu Morskiego i Rybackiego, oraz ustanawiającego przepisy ogólne dotyczące Europejskiego Funduszu Rozwoju Regionalnego, Europejskiego Funduszu Społecznego, Funduszu Spójności i Europejskiego Funduszu Morskiego i Rybackiego oraz uchylającego Rozporządzenie Rady (WE) nr 1083/2006,</w:t>
      </w:r>
    </w:p>
    <w:p w14:paraId="163F99A0" w14:textId="77777777" w:rsidR="00C96425" w:rsidRPr="003E7CCF" w:rsidRDefault="00C96425" w:rsidP="006D5B13">
      <w:pPr>
        <w:numPr>
          <w:ilvl w:val="1"/>
          <w:numId w:val="10"/>
        </w:numPr>
        <w:tabs>
          <w:tab w:val="clear" w:pos="1440"/>
        </w:tabs>
        <w:spacing w:before="100" w:beforeAutospacing="1" w:after="100" w:afterAutospacing="1" w:line="240" w:lineRule="auto"/>
        <w:ind w:left="709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rozporządzenia wykonawczego Komisji (UE) nr 1011/2014 z dnia 22 września 2014 r. ustanawiającego szczegółowe przepisy wykonawcze do rozporządzenia Parlamentu Europejskiego i Rady (UE) nr 1303/2013 w odniesieniu do wzorów służących do przekazywania Komisji określonych informacji oraz szczegółowe przepisy dotyczące wymiany informacji między beneficjentami a instytucjami zarządzającymi, certyfikującymi, audytowymi i pośredniczącymi.</w:t>
      </w:r>
    </w:p>
    <w:p w14:paraId="20F55C4E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Podstawą przetwarzania danych osobowych przez Ministra są również:</w:t>
      </w:r>
    </w:p>
    <w:p w14:paraId="7FE2D341" w14:textId="77777777" w:rsidR="00C96425" w:rsidRPr="003E7CCF" w:rsidRDefault="00C96425" w:rsidP="006D5B13">
      <w:pPr>
        <w:numPr>
          <w:ilvl w:val="1"/>
          <w:numId w:val="14"/>
        </w:numPr>
        <w:tabs>
          <w:tab w:val="clear" w:pos="1440"/>
        </w:tabs>
        <w:spacing w:before="100" w:beforeAutospacing="1" w:after="100" w:afterAutospacing="1" w:line="240" w:lineRule="auto"/>
        <w:ind w:left="709" w:hanging="283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bCs/>
          <w:lang w:eastAsia="pl-PL"/>
        </w:rPr>
        <w:t>konieczność realizacji umowy</w:t>
      </w:r>
      <w:r w:rsidRPr="003E7CCF">
        <w:rPr>
          <w:rFonts w:eastAsia="Times New Roman" w:cs="Calibri"/>
          <w:lang w:eastAsia="pl-PL"/>
        </w:rPr>
        <w:t>, której stroną jest osoba, której dane dotyczą (art. 6 ust. 1 lit. b RODO) - podstawa ta ma zastosowanie m. in.  do danych osobowych osób prowadzących samodzielną działalność gospodarczą, z którymi Minister zawarł umowy w celu realizacji POPC 2014-2020,</w:t>
      </w:r>
    </w:p>
    <w:p w14:paraId="3BCF6A49" w14:textId="77777777" w:rsidR="00C96425" w:rsidRPr="003E7CCF" w:rsidRDefault="00C96425" w:rsidP="006D5B13">
      <w:pPr>
        <w:numPr>
          <w:ilvl w:val="1"/>
          <w:numId w:val="14"/>
        </w:numPr>
        <w:tabs>
          <w:tab w:val="clear" w:pos="1440"/>
        </w:tabs>
        <w:spacing w:before="100" w:beforeAutospacing="1" w:after="100" w:afterAutospacing="1" w:line="240" w:lineRule="auto"/>
        <w:ind w:left="709" w:hanging="283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wykonywanie </w:t>
      </w:r>
      <w:r w:rsidRPr="003E7CCF">
        <w:rPr>
          <w:rFonts w:eastAsia="Times New Roman" w:cs="Calibri"/>
          <w:b/>
          <w:bCs/>
          <w:lang w:eastAsia="pl-PL"/>
        </w:rPr>
        <w:t>zadań realizowanych w interesie publicznym lub w ramach sprawowania władzy publicznej</w:t>
      </w:r>
      <w:r w:rsidRPr="003E7CCF">
        <w:rPr>
          <w:rFonts w:eastAsia="Times New Roman" w:cs="Calibri"/>
          <w:lang w:eastAsia="pl-PL"/>
        </w:rPr>
        <w:t xml:space="preserve"> powierzonej Ministrowi (art. 6 ust. 1 lit e RODO) - podstawa ta ma zastosowanie m. in. do organizowanych przez Ministra konkursów i akcji promocyjnych dotyczących Programu,</w:t>
      </w:r>
    </w:p>
    <w:p w14:paraId="1F2D4E29" w14:textId="6E099B49" w:rsidR="00C96425" w:rsidRPr="003E7CCF" w:rsidRDefault="00C96425" w:rsidP="006D5B13">
      <w:pPr>
        <w:numPr>
          <w:ilvl w:val="1"/>
          <w:numId w:val="14"/>
        </w:numPr>
        <w:tabs>
          <w:tab w:val="clear" w:pos="1440"/>
        </w:tabs>
        <w:spacing w:before="100" w:beforeAutospacing="1" w:after="100" w:afterAutospacing="1" w:line="240" w:lineRule="auto"/>
        <w:ind w:left="709" w:hanging="283"/>
        <w:jc w:val="both"/>
        <w:rPr>
          <w:rFonts w:eastAsia="Times New Roman" w:cs="Calibri"/>
          <w:lang w:eastAsia="pl-PL"/>
        </w:rPr>
      </w:pPr>
      <w:r w:rsidRPr="001F58AA">
        <w:t>uzasadniony interes prawny Ministra</w:t>
      </w:r>
      <w:r w:rsidR="00322BEA">
        <w:t xml:space="preserve"> Finansów,</w:t>
      </w:r>
      <w:r w:rsidRPr="001F58AA">
        <w:t xml:space="preserve"> </w:t>
      </w:r>
      <w:r w:rsidR="0038798B">
        <w:t xml:space="preserve">Funduszy i Polityki Regionalnej </w:t>
      </w:r>
      <w:r w:rsidRPr="001F58AA">
        <w:t xml:space="preserve"> (art. 6 ust. 1 lit f RODO) – podstawa ta ma zastosowanie m.in. do danych osobowych przetwarzanych w związku z realizacją umów w ramach Funduszy Europejskich.</w:t>
      </w:r>
    </w:p>
    <w:p w14:paraId="281C33FE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 ramach POPC 2014-2020</w:t>
      </w:r>
      <w:r w:rsidRPr="003E7CCF">
        <w:rPr>
          <w:rFonts w:eastAsia="Times New Roman" w:cs="Calibri"/>
          <w:b/>
          <w:lang w:eastAsia="pl-PL"/>
        </w:rPr>
        <w:t xml:space="preserve"> w działaniu 3.1</w:t>
      </w:r>
      <w:r w:rsidRPr="003E7CCF">
        <w:rPr>
          <w:rFonts w:eastAsia="Times New Roman" w:cs="Calibri"/>
          <w:lang w:eastAsia="pl-PL"/>
        </w:rPr>
        <w:t xml:space="preserve"> - </w:t>
      </w:r>
      <w:r w:rsidRPr="001F58AA">
        <w:rPr>
          <w:rStyle w:val="span-gray"/>
        </w:rPr>
        <w:t xml:space="preserve">Działania szkoleniowe na rzecz rozwoju kompetencji cyfrowych </w:t>
      </w:r>
      <w:r w:rsidRPr="003E7CCF">
        <w:rPr>
          <w:rFonts w:eastAsia="Times New Roman" w:cs="Calibri"/>
          <w:lang w:eastAsia="pl-PL"/>
        </w:rPr>
        <w:t xml:space="preserve">przetwarzane są </w:t>
      </w:r>
      <w:r w:rsidRPr="003E7CCF">
        <w:rPr>
          <w:rFonts w:eastAsia="Times New Roman" w:cs="Calibri"/>
          <w:b/>
          <w:lang w:eastAsia="pl-PL"/>
        </w:rPr>
        <w:t>dane szczególnej kategorii</w:t>
      </w:r>
      <w:r w:rsidRPr="003E7CCF">
        <w:rPr>
          <w:rFonts w:eastAsia="Times New Roman" w:cs="Calibri"/>
          <w:lang w:eastAsia="pl-PL"/>
        </w:rPr>
        <w:t xml:space="preserve"> (dane o niepełnosprawności). Podstawą prawną ich przetwarzania </w:t>
      </w:r>
      <w:r w:rsidRPr="003E7CCF">
        <w:rPr>
          <w:rFonts w:eastAsia="Times New Roman" w:cs="Calibri"/>
          <w:b/>
          <w:lang w:eastAsia="pl-PL"/>
        </w:rPr>
        <w:t xml:space="preserve">jest </w:t>
      </w:r>
      <w:r w:rsidRPr="001F58AA">
        <w:rPr>
          <w:rFonts w:eastAsia="Times New Roman" w:cs="Calibri"/>
          <w:b/>
          <w:lang w:eastAsia="pl-PL"/>
        </w:rPr>
        <w:t>wyraźna zgoda osoby, której dane dotyczą (art. 9 ust. 2 lit a RODO)</w:t>
      </w:r>
      <w:r w:rsidRPr="001F58AA">
        <w:rPr>
          <w:rFonts w:eastAsia="Times New Roman" w:cs="Calibri"/>
          <w:lang w:eastAsia="pl-PL"/>
        </w:rPr>
        <w:t>.</w:t>
      </w:r>
    </w:p>
    <w:p w14:paraId="5D035A7C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III. Rodzaje przetwarzanych danych</w:t>
      </w:r>
    </w:p>
    <w:p w14:paraId="64B31E43" w14:textId="3E410CA9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Minister</w:t>
      </w:r>
      <w:r w:rsidR="001929A3">
        <w:rPr>
          <w:rFonts w:eastAsia="Times New Roman" w:cs="Calibri"/>
          <w:lang w:eastAsia="pl-PL"/>
        </w:rPr>
        <w:t xml:space="preserve"> Finansów, </w:t>
      </w:r>
      <w:r w:rsidR="0038798B" w:rsidRPr="0038798B">
        <w:rPr>
          <w:rFonts w:eastAsia="Times New Roman" w:cs="Calibri"/>
          <w:lang w:eastAsia="pl-PL"/>
        </w:rPr>
        <w:t xml:space="preserve">Funduszy i Polityki Regionalnej </w:t>
      </w:r>
      <w:r w:rsidRPr="003E7CCF">
        <w:rPr>
          <w:rFonts w:eastAsia="Times New Roman" w:cs="Calibri"/>
          <w:lang w:eastAsia="pl-PL"/>
        </w:rPr>
        <w:t>w celu realizacji POPC 2014-2020 przetwarza dane osobowe m. in.:</w:t>
      </w:r>
    </w:p>
    <w:p w14:paraId="469CDAAA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1F58AA">
        <w:lastRenderedPageBreak/>
        <w:t>pracowników, wolontariuszy, praktykantów i stażystów reprezentujących lub wykonujących zadania na rzecz podmiotów zaangażowanych w obsługę i realizację POPC 2014-2020</w:t>
      </w:r>
      <w:r w:rsidRPr="003E7CCF">
        <w:rPr>
          <w:rFonts w:eastAsia="Times New Roman" w:cs="Calibri"/>
          <w:lang w:eastAsia="pl-PL"/>
        </w:rPr>
        <w:t>,</w:t>
      </w:r>
    </w:p>
    <w:p w14:paraId="0A7D7BEF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osób wskazanych do kontaktu, osób upoważnionych do podejmowania wiążących decyzji oraz innych osób wykonujących zadania na rzecz wnioskodawców, beneficjentów i partnerów,</w:t>
      </w:r>
    </w:p>
    <w:p w14:paraId="0B0840F1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uczestników szkoleń, konkursów, konferencji, komitetów monitorujących, grup roboczych, grup sterujących oraz spotkań informacyjnych lub promocyjnych organizowanych w ramach POPC 2014-2020,</w:t>
      </w:r>
    </w:p>
    <w:p w14:paraId="56B00B1B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kandydatów na ekspertów oraz ekspertów zaangażowanych w proces wyboru projektów do dofinansowania lub wykonujących zadania związane z realizacją praw i obowiązków właściwych instytucji, wynikających z zawartych umów o dofinansowanie projektów,</w:t>
      </w:r>
    </w:p>
    <w:p w14:paraId="3AA6F56F" w14:textId="77777777" w:rsidR="00C96425" w:rsidRPr="003E7CCF" w:rsidRDefault="00C96425" w:rsidP="006D5B13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osób, których dane będą przetwarzane w związku z badaniem kwalifikowalności środków w projekcie, w tym w szczególności: personelu projektu, uczestników komisji przetargowych, oferentów i wykonawców zamówień publicznych, osób świadczących usługi na podstawie umów cywilnoprawnych.</w:t>
      </w:r>
    </w:p>
    <w:p w14:paraId="32226902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Wśród </w:t>
      </w:r>
      <w:r w:rsidRPr="003E7CCF">
        <w:rPr>
          <w:rFonts w:eastAsia="Times New Roman" w:cs="Calibri"/>
          <w:b/>
          <w:bCs/>
          <w:lang w:eastAsia="pl-PL"/>
        </w:rPr>
        <w:t>rodzajów danych osobowych</w:t>
      </w:r>
      <w:r w:rsidRPr="003E7CCF">
        <w:rPr>
          <w:rFonts w:eastAsia="Times New Roman" w:cs="Calibri"/>
          <w:lang w:eastAsia="pl-PL"/>
        </w:rPr>
        <w:t xml:space="preserve"> przetwarzanych przez Ministra można wymienić:</w:t>
      </w:r>
    </w:p>
    <w:p w14:paraId="6D2348B7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identyfikacyjne, w szczególności: imię, nazwisko, miejsce zatrudnienia/formę prowadzenia działalności gospodarczej, stanowisko; w niektórych przypadkach także nr PESEL/NIP/REGON,</w:t>
      </w:r>
    </w:p>
    <w:p w14:paraId="7DA99042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dotyczące stosunku pracy, w szczególności otrzymywane wynagrodzenie oraz wymiar czasu pracy,</w:t>
      </w:r>
    </w:p>
    <w:p w14:paraId="6D1036E0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kontaktowe, które obejmują w szczególności adres e-mail, nr telefonu, nr fax, adres do korespondencji,</w:t>
      </w:r>
    </w:p>
    <w:p w14:paraId="221615CE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o charakterze finansowym, w szczególności nr rachunku bankowego, kwotę przyznanych środków, informacje dotyczące nieruchomości (nr działki, nr księgi wieczystej, nr przyłącza gazowego), kwotę wynagrodzenia,</w:t>
      </w:r>
    </w:p>
    <w:p w14:paraId="444F3F00" w14:textId="77777777" w:rsidR="00C96425" w:rsidRPr="003E7CCF" w:rsidRDefault="00C96425" w:rsidP="006D5B13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zbierane w celu realizacji obowiązków sprawozdawczych do których realizacji zobowiązane są państwa członkowskie, obejmujące w szczególności: płeć, wiek w chwili przystąpienia do projektu, wykształcenie, wykonywany zawód, narodowość, informacje o niepełnosprawności.</w:t>
      </w:r>
    </w:p>
    <w:p w14:paraId="2F30C190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Dane pozyskiwane są bezpośrednio od osób, których dane dotyczą, albo od instytucji i podmiotów zaangażowanych w realizację programów operacyjnych, w szczególności wnioskodawców, beneficjentów i partnerów.</w:t>
      </w:r>
    </w:p>
    <w:p w14:paraId="7C7E6DA0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 przypadku, gdy dane pozyskiwanie są bezpośrednio od osób, których dane dotyczą, podanie danych jest dobrowolne. Odmowa podania danych jest jednak równoznaczna z brakiem możliwości podjęcia stosownych działań, np. ubiegania się o środki w ramach POPC 2014-2020.</w:t>
      </w:r>
    </w:p>
    <w:p w14:paraId="19409BCC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IV. Okres przechowywania danych</w:t>
      </w:r>
    </w:p>
    <w:p w14:paraId="5EA5A092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Dane osobowe będą przechowywane przez okres wskazany w art. 140 ust. 1 rozporządzenia Parlamentu Europejskiego i Rady (UE) nr 1303/2013 z dnia 17 grudnia 2013 r. oraz jednocześnie </w:t>
      </w:r>
      <w:r w:rsidRPr="003E7CCF">
        <w:rPr>
          <w:rFonts w:eastAsia="Times New Roman" w:cs="Calibri"/>
          <w:b/>
          <w:bCs/>
          <w:lang w:eastAsia="pl-PL"/>
        </w:rPr>
        <w:t>przez czas nie krótszy niż 10 lat od dnia przyznania ostatniej pomocy w ramach POPC 2014-2020</w:t>
      </w:r>
      <w:r w:rsidRPr="003E7CCF">
        <w:rPr>
          <w:rFonts w:eastAsia="Times New Roman" w:cs="Calibri"/>
          <w:lang w:eastAsia="pl-PL"/>
        </w:rPr>
        <w:t xml:space="preserve"> - z równoczesnym uwzględnieniem przepisów ustawy z dnia 14 lipca 1983 r. o narodowym zasobie archiwalnym i archiwach.</w:t>
      </w:r>
    </w:p>
    <w:p w14:paraId="130DFB7A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 niektórych przypadkach, np. prowadzenia kontroli u Ministra przez organy Unii Europejskiej, okres ten może zostać wydłużony.</w:t>
      </w:r>
    </w:p>
    <w:p w14:paraId="1A752328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V. Odbiorcy danych</w:t>
      </w:r>
    </w:p>
    <w:p w14:paraId="1AD272FA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lastRenderedPageBreak/>
        <w:t>Odbiorcami danych osobowych mogą być: </w:t>
      </w:r>
    </w:p>
    <w:p w14:paraId="16919233" w14:textId="77777777" w:rsidR="00C96425" w:rsidRPr="003E7CCF" w:rsidRDefault="00C96425" w:rsidP="006D5B1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podmioty, którym Instytucja Zarządzająca POPC 2014-2020 powierzyła wykonywanie zadań związanych z realizacją Programu, w tym w szczególności </w:t>
      </w:r>
      <w:r w:rsidRPr="003E7CCF">
        <w:rPr>
          <w:rFonts w:eastAsia="Times New Roman" w:cs="Calibri"/>
          <w:b/>
          <w:bCs/>
          <w:lang w:eastAsia="pl-PL"/>
        </w:rPr>
        <w:t>Instytucja Pośrednicząca POPC</w:t>
      </w:r>
      <w:r w:rsidRPr="003E7CCF">
        <w:rPr>
          <w:rFonts w:eastAsia="Times New Roman" w:cs="Calibri"/>
          <w:lang w:eastAsia="pl-PL"/>
        </w:rPr>
        <w:t xml:space="preserve">, a także </w:t>
      </w:r>
      <w:r w:rsidRPr="003E7CCF">
        <w:rPr>
          <w:rFonts w:eastAsia="Times New Roman" w:cs="Calibri"/>
          <w:b/>
          <w:bCs/>
          <w:lang w:eastAsia="pl-PL"/>
        </w:rPr>
        <w:t>eksperci, podmioty prowadzące audyty, kontrole, szkolenia i ewaluacje</w:t>
      </w:r>
      <w:r w:rsidRPr="003E7CCF">
        <w:rPr>
          <w:rFonts w:eastAsia="Times New Roman" w:cs="Calibri"/>
          <w:lang w:eastAsia="pl-PL"/>
        </w:rPr>
        <w:t>,  </w:t>
      </w:r>
    </w:p>
    <w:p w14:paraId="69A27CE6" w14:textId="77777777" w:rsidR="00C96425" w:rsidRPr="003E7CCF" w:rsidRDefault="00C96425" w:rsidP="006D5B1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bCs/>
          <w:lang w:eastAsia="pl-PL"/>
        </w:rPr>
        <w:t>instytucje, organy i agencje Unii Europejskiej (UE)</w:t>
      </w:r>
      <w:r w:rsidRPr="003E7CCF">
        <w:rPr>
          <w:rFonts w:eastAsia="Times New Roman" w:cs="Calibri"/>
          <w:lang w:eastAsia="pl-PL"/>
        </w:rPr>
        <w:t>, a także inne podmioty, którym UE powierzyła wykonywanie zadań związanych z wdrażaniem POPC 2014-2020, </w:t>
      </w:r>
    </w:p>
    <w:p w14:paraId="199E839C" w14:textId="77777777" w:rsidR="00C96425" w:rsidRPr="003E7CCF" w:rsidRDefault="00C96425" w:rsidP="006D5B1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podmioty świadczące na rzecz Ministra usługi związane z obsługą i rozwojem systemów teleinformatycznych oraz zapewnieniem łączności, w szczególności </w:t>
      </w:r>
      <w:r w:rsidRPr="003E7CCF">
        <w:rPr>
          <w:rFonts w:eastAsia="Times New Roman" w:cs="Calibri"/>
          <w:b/>
          <w:bCs/>
          <w:lang w:eastAsia="pl-PL"/>
        </w:rPr>
        <w:t>dostawcy rozwiązań IT i  operatorzy telekomunikacyjni</w:t>
      </w:r>
      <w:r w:rsidRPr="003E7CCF">
        <w:rPr>
          <w:rFonts w:eastAsia="Times New Roman" w:cs="Calibri"/>
          <w:lang w:eastAsia="pl-PL"/>
        </w:rPr>
        <w:t>.</w:t>
      </w:r>
    </w:p>
    <w:p w14:paraId="712BBB68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VI. Prawa osoby, której dane dotyczą</w:t>
      </w:r>
    </w:p>
    <w:p w14:paraId="35C1666A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Osobom, których dane przetwarzane są w związku z realizacją POPC 2014-2020 przysługują następujące prawa:</w:t>
      </w:r>
    </w:p>
    <w:p w14:paraId="5782BE0F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prawo </w:t>
      </w:r>
      <w:r w:rsidRPr="003E7CCF">
        <w:rPr>
          <w:rFonts w:eastAsia="Times New Roman" w:cs="Calibri"/>
          <w:b/>
          <w:lang w:eastAsia="pl-PL"/>
        </w:rPr>
        <w:t>dostępu do danych osobowych i ich sprostowania</w:t>
      </w:r>
      <w:r w:rsidRPr="003E7CCF">
        <w:rPr>
          <w:rFonts w:eastAsia="Times New Roman" w:cs="Calibri"/>
          <w:lang w:eastAsia="pl-PL"/>
        </w:rPr>
        <w:br/>
        <w:t xml:space="preserve">Realizując te prawo, osoba której dane dotyczą może zwrócić się do Ministra z pytanie m.in. o to czy Minister przetwarza jej dane osobowe, jakie dane osobowe przetwarza i skąd je pozyskał, jaki jest cel przetwarzania i jego podstawa prawna  oraz jak długo dane te będą przetwarzane. </w:t>
      </w:r>
      <w:r w:rsidRPr="003E7CCF">
        <w:rPr>
          <w:rFonts w:eastAsia="Times New Roman" w:cs="Calibri"/>
          <w:lang w:eastAsia="pl-PL"/>
        </w:rPr>
        <w:br/>
        <w:t>W przypadku, gdy przetwarzane dane okażą się nieaktualne, osoba, której dane dotyczą może zwrócić się do Ministra z wnioskiem o ich aktualizację,</w:t>
      </w:r>
    </w:p>
    <w:p w14:paraId="4DC21F36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prawo </w:t>
      </w:r>
      <w:r w:rsidRPr="003E7CCF">
        <w:rPr>
          <w:rFonts w:eastAsia="Times New Roman" w:cs="Calibri"/>
          <w:b/>
          <w:lang w:eastAsia="pl-PL"/>
        </w:rPr>
        <w:t>usunięcia lub ograniczenia ich przetwarzania</w:t>
      </w:r>
      <w:r w:rsidRPr="003E7CCF">
        <w:rPr>
          <w:rFonts w:eastAsia="Times New Roman" w:cs="Calibri"/>
          <w:lang w:eastAsia="pl-PL"/>
        </w:rPr>
        <w:t xml:space="preserve"> – jeżeli spełnione są przesłanki określone w art. 17 i 18 RODO</w:t>
      </w:r>
      <w:r w:rsidRPr="003E7CCF">
        <w:rPr>
          <w:rFonts w:eastAsia="Times New Roman" w:cs="Calibri"/>
          <w:lang w:eastAsia="pl-PL"/>
        </w:rPr>
        <w:br/>
        <w:t>Żądanie usunięcia danych osobowych realizowane jest w szczególności gdy dalsze przetwarzanie danych nie jest już niezbędne do realizacji celu Ministra lub dane osobowe były przetwarzane niezgodnie z prawem. Szczegółowe warunki korzystania z tego prawa określa art. 17 RODO.</w:t>
      </w:r>
      <w:r w:rsidRPr="003E7CCF">
        <w:rPr>
          <w:rFonts w:eastAsia="Times New Roman" w:cs="Calibri"/>
          <w:lang w:eastAsia="pl-PL"/>
        </w:rPr>
        <w:br/>
        <w:t xml:space="preserve">Ograniczenie przetwarzania danych osobowych powoduje, że Minister może jedynie przechowywać dane osobowe. Minister nie może przekazywać tych danych innym podmiotom, modyfikować ich ani usuwać. </w:t>
      </w:r>
      <w:r w:rsidRPr="003E7CCF">
        <w:rPr>
          <w:rFonts w:eastAsia="Times New Roman" w:cs="Calibri"/>
          <w:lang w:eastAsia="pl-PL"/>
        </w:rPr>
        <w:br/>
        <w:t>Ograniczanie przetwarzania danych osobowych ma charakter czasowy i trwa do momentu dokonania przez Ministra oceny, czy dane osobowe są prawidłowe, przetwarzane zgodnie z prawem oraz niezbędne do realizacji celu przetwarzania.</w:t>
      </w:r>
      <w:r w:rsidRPr="003E7CCF">
        <w:rPr>
          <w:rFonts w:eastAsia="Times New Roman" w:cs="Calibri"/>
          <w:lang w:eastAsia="pl-PL"/>
        </w:rPr>
        <w:br/>
        <w:t>Ograniczenie przetwarzania danych osobowych następuje także w przypadku wniesienia sprzeciwu wobec przetwarzania danych – do czasu rozpatrzenia przez Ministra tego sprzeciwu.</w:t>
      </w:r>
    </w:p>
    <w:p w14:paraId="2B344BB0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b/>
          <w:lang w:eastAsia="pl-PL"/>
        </w:rPr>
      </w:pPr>
      <w:r w:rsidRPr="003E7CCF">
        <w:rPr>
          <w:rFonts w:eastAsia="Times New Roman" w:cs="Calibri"/>
          <w:lang w:eastAsia="pl-PL"/>
        </w:rPr>
        <w:t>prawo</w:t>
      </w:r>
      <w:r w:rsidRPr="003E7CCF">
        <w:rPr>
          <w:rFonts w:eastAsia="Times New Roman" w:cs="Calibri"/>
          <w:b/>
          <w:lang w:eastAsia="pl-PL"/>
        </w:rPr>
        <w:t xml:space="preserve"> wniesienia skargi do Prezesa Urzędu Ochrony Danych Osobowych,</w:t>
      </w:r>
    </w:p>
    <w:p w14:paraId="10485617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prawo do </w:t>
      </w:r>
      <w:r w:rsidRPr="003E7CCF">
        <w:rPr>
          <w:rFonts w:eastAsia="Times New Roman" w:cs="Calibri"/>
          <w:b/>
          <w:lang w:eastAsia="pl-PL"/>
        </w:rPr>
        <w:t>cofnięcia zgody</w:t>
      </w:r>
      <w:r w:rsidRPr="003E7CCF">
        <w:rPr>
          <w:rFonts w:eastAsia="Times New Roman" w:cs="Calibri"/>
          <w:lang w:eastAsia="pl-PL"/>
        </w:rPr>
        <w:t>, w każdym momencie - w przypadku, gdy podstawą przetwarzania danych jest zgoda (art. 9 ust. 2 lit a RODO). Cofnięcie zgody nie spowoduje, że dotychczasowe przetwarzanie danych zostanie uznane za niezgodne z prawem.</w:t>
      </w:r>
    </w:p>
    <w:p w14:paraId="421B57D8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prawo </w:t>
      </w:r>
      <w:r w:rsidRPr="003E7CCF">
        <w:rPr>
          <w:rFonts w:eastAsia="Times New Roman" w:cs="Calibri"/>
          <w:b/>
          <w:lang w:eastAsia="pl-PL"/>
        </w:rPr>
        <w:t>otrzymania danych osobowych w ustrukturyzowanym powszechnie używanym formacie</w:t>
      </w:r>
      <w:r w:rsidRPr="003E7CCF">
        <w:rPr>
          <w:rFonts w:eastAsia="Times New Roman" w:cs="Calibri"/>
          <w:lang w:eastAsia="pl-PL"/>
        </w:rPr>
        <w:t>, przenoszenia tych danych do innych administratorów lub żądania, o ile jest to technicznie możliwe, przesłania ich przez administratora innemu administratorowi - w przypadku, gdy podstawą przetwarzania danych jest zgoda lub realizacja umowy z osobą, której dane dotyczą (art. 6 ust. 1 lit b RODO)</w:t>
      </w:r>
    </w:p>
    <w:p w14:paraId="2E05C8BF" w14:textId="77777777" w:rsidR="00C96425" w:rsidRPr="003E7CCF" w:rsidRDefault="00C96425" w:rsidP="006D5B13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lang w:eastAsia="pl-PL"/>
        </w:rPr>
        <w:t>prawo wniesienia sprzeciwu wobec przetwarzania danych osobowych</w:t>
      </w:r>
      <w:r w:rsidRPr="003E7CCF">
        <w:rPr>
          <w:rFonts w:eastAsia="Times New Roman" w:cs="Calibri"/>
          <w:lang w:eastAsia="pl-PL"/>
        </w:rPr>
        <w:t xml:space="preserve"> - w przypadku, gdy podstawą przetwarzania danych jest realizacja zadań publicznych administratora lub jego prawnie uzasadnionych interesów (art. 6 ust. 1 lit e lub f RODO). Wniesienie sprzeciwu powoduje zaprzestanie przetwarzania danych osobowych przez Ministra, chyba że wykaże on, istnienie ważnych prawnie uzasadnionych podstaw do przetwarzania, nadrzędnych wobec interesów, praw i wolności osoby, której dane dotyczą, lub podstaw do ustalenia, dochodzenia lub obrony roszczeń.</w:t>
      </w:r>
    </w:p>
    <w:p w14:paraId="2EF3019B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b/>
          <w:bCs/>
          <w:lang w:eastAsia="pl-PL"/>
        </w:rPr>
      </w:pPr>
    </w:p>
    <w:p w14:paraId="3B917651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VII. Zautomatyzowane podejmowanie decyzji</w:t>
      </w:r>
    </w:p>
    <w:p w14:paraId="5674E78D" w14:textId="77777777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b/>
          <w:bCs/>
          <w:lang w:eastAsia="pl-PL"/>
        </w:rPr>
        <w:t>Dane nie podlegają procesowi zautomatyzowanego podejmowania decyzji.</w:t>
      </w:r>
    </w:p>
    <w:p w14:paraId="5DE3FC2A" w14:textId="77777777" w:rsidR="00C96425" w:rsidRPr="003E7CCF" w:rsidRDefault="00C96425" w:rsidP="00C96425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  <w:r w:rsidRPr="003E7CCF">
        <w:rPr>
          <w:rFonts w:eastAsia="Times New Roman" w:cs="Calibri"/>
          <w:b/>
          <w:bCs/>
          <w:sz w:val="28"/>
          <w:lang w:eastAsia="pl-PL"/>
        </w:rPr>
        <w:t>VIII. Kontakt z Inspektorem Ochrony Danych</w:t>
      </w:r>
    </w:p>
    <w:p w14:paraId="0E4DBF56" w14:textId="05B0035F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 xml:space="preserve">Minister </w:t>
      </w:r>
      <w:r w:rsidR="001929A3">
        <w:rPr>
          <w:rFonts w:eastAsia="Times New Roman" w:cs="Calibri"/>
          <w:lang w:eastAsia="pl-PL"/>
        </w:rPr>
        <w:t xml:space="preserve">Finansów, </w:t>
      </w:r>
      <w:r w:rsidR="0038798B" w:rsidRPr="0038798B">
        <w:rPr>
          <w:rFonts w:eastAsia="Times New Roman" w:cs="Calibri"/>
          <w:lang w:eastAsia="pl-PL"/>
        </w:rPr>
        <w:t xml:space="preserve">Funduszy i Polityki Regionalnej </w:t>
      </w:r>
      <w:r w:rsidRPr="003E7CCF">
        <w:rPr>
          <w:rFonts w:eastAsia="Times New Roman" w:cs="Calibri"/>
          <w:lang w:eastAsia="pl-PL"/>
        </w:rPr>
        <w:t>ma swoją siedzibę pod adresem: ul. Wspólna 2/4, 00-926 Warszawa.</w:t>
      </w:r>
    </w:p>
    <w:p w14:paraId="57B2052E" w14:textId="4F7CE8A3" w:rsidR="00C96425" w:rsidRPr="003E7CCF" w:rsidRDefault="00C96425" w:rsidP="006D5B13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W przypadku pytań, kontakt z Inspektorem Ochrony Danych Osobowych M</w:t>
      </w:r>
      <w:r w:rsidR="0038798B">
        <w:rPr>
          <w:rFonts w:eastAsia="Times New Roman" w:cs="Calibri"/>
          <w:lang w:eastAsia="pl-PL"/>
        </w:rPr>
        <w:t>FiPR</w:t>
      </w:r>
      <w:r w:rsidRPr="003E7CCF">
        <w:rPr>
          <w:rFonts w:eastAsia="Times New Roman" w:cs="Calibri"/>
          <w:lang w:eastAsia="pl-PL"/>
        </w:rPr>
        <w:t xml:space="preserve"> jest możliwy:</w:t>
      </w:r>
    </w:p>
    <w:p w14:paraId="637DA5BA" w14:textId="77777777" w:rsidR="00C96425" w:rsidRPr="003E7CCF" w:rsidRDefault="00C96425" w:rsidP="006D5B1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3E7CCF">
        <w:rPr>
          <w:rFonts w:eastAsia="Times New Roman" w:cs="Calibri"/>
          <w:lang w:eastAsia="pl-PL"/>
        </w:rPr>
        <w:t>pod adresem: ul. Wspólna 2/4, 00-926 Warszawa,</w:t>
      </w:r>
    </w:p>
    <w:p w14:paraId="664BBF9D" w14:textId="05F5A084" w:rsidR="00C96425" w:rsidRPr="003E7CCF" w:rsidRDefault="00C96425" w:rsidP="006D5B13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="Calibri"/>
        </w:rPr>
      </w:pPr>
      <w:r w:rsidRPr="003E7CCF">
        <w:rPr>
          <w:rFonts w:eastAsia="Times New Roman" w:cs="Calibri"/>
          <w:lang w:eastAsia="pl-PL"/>
        </w:rPr>
        <w:t>pod adresem poczty elektronicznej: </w:t>
      </w:r>
      <w:hyperlink r:id="rId8" w:tooltip="IOD@mfipr.gov.pl" w:history="1">
        <w:r w:rsidR="0038798B" w:rsidRPr="0038798B">
          <w:rPr>
            <w:rStyle w:val="Hipercze"/>
            <w:rFonts w:eastAsia="Times New Roman" w:cs="Calibri"/>
            <w:lang w:eastAsia="pl-PL"/>
          </w:rPr>
          <w:t>IOD@mfipr.gov.pl</w:t>
        </w:r>
      </w:hyperlink>
      <w:r w:rsidR="0038798B" w:rsidRPr="0038798B" w:rsidDel="0038798B">
        <w:rPr>
          <w:rFonts w:eastAsia="Times New Roman" w:cs="Calibri"/>
          <w:lang w:eastAsia="pl-PL"/>
        </w:rPr>
        <w:t xml:space="preserve"> </w:t>
      </w:r>
    </w:p>
    <w:p w14:paraId="73912A6E" w14:textId="39566D30" w:rsidR="00823FD5" w:rsidRDefault="00823FD5">
      <w:pPr>
        <w:rPr>
          <w:rFonts w:ascii="Trebuchet MS" w:hAnsi="Trebuchet MS"/>
        </w:rPr>
      </w:pPr>
    </w:p>
    <w:p w14:paraId="04FAD144" w14:textId="77777777" w:rsidR="00A50745" w:rsidRDefault="00A50745" w:rsidP="00A50745">
      <w:pPr>
        <w:spacing w:after="143" w:line="249" w:lineRule="auto"/>
        <w:ind w:left="-15"/>
        <w:jc w:val="both"/>
        <w:rPr>
          <w:rFonts w:cs="Calibri"/>
          <w:color w:val="000000"/>
          <w:lang w:eastAsia="pl-PL"/>
        </w:rPr>
      </w:pPr>
    </w:p>
    <w:p w14:paraId="62478DEF" w14:textId="36392B3C" w:rsidR="004B6DEB" w:rsidRDefault="00B64322" w:rsidP="00B64322">
      <w:pPr>
        <w:tabs>
          <w:tab w:val="left" w:pos="2160"/>
        </w:tabs>
        <w:spacing w:after="143" w:line="249" w:lineRule="auto"/>
        <w:ind w:left="-15"/>
        <w:jc w:val="both"/>
        <w:rPr>
          <w:rFonts w:eastAsia="Times New Roman" w:cs="Calibri"/>
          <w:b/>
          <w:bCs/>
          <w:sz w:val="28"/>
          <w:lang w:eastAsia="pl-PL"/>
        </w:rPr>
      </w:pPr>
      <w:r>
        <w:rPr>
          <w:rFonts w:eastAsia="Times New Roman" w:cs="Calibri"/>
          <w:b/>
          <w:bCs/>
          <w:sz w:val="28"/>
          <w:lang w:eastAsia="pl-PL"/>
        </w:rPr>
        <w:t>IX</w:t>
      </w:r>
      <w:r w:rsidR="004B6DEB" w:rsidRPr="003E7CCF">
        <w:rPr>
          <w:rFonts w:eastAsia="Times New Roman" w:cs="Calibri"/>
          <w:b/>
          <w:bCs/>
          <w:sz w:val="28"/>
          <w:lang w:eastAsia="pl-PL"/>
        </w:rPr>
        <w:t xml:space="preserve">. </w:t>
      </w:r>
      <w:r w:rsidR="004B6DEB">
        <w:rPr>
          <w:rFonts w:eastAsia="Times New Roman" w:cs="Calibri"/>
          <w:b/>
          <w:bCs/>
          <w:sz w:val="28"/>
          <w:lang w:eastAsia="pl-PL"/>
        </w:rPr>
        <w:t>Oświadczenie osoby której dane dotyczą</w:t>
      </w:r>
    </w:p>
    <w:p w14:paraId="26DA5686" w14:textId="77777777" w:rsidR="004B6DEB" w:rsidRDefault="004B6DEB" w:rsidP="004B6DEB">
      <w:pPr>
        <w:spacing w:after="143" w:line="249" w:lineRule="auto"/>
        <w:ind w:left="-15"/>
        <w:jc w:val="both"/>
        <w:rPr>
          <w:rFonts w:cs="Calibri"/>
          <w:color w:val="000000"/>
          <w:lang w:eastAsia="pl-PL"/>
        </w:rPr>
      </w:pPr>
      <w:r>
        <w:rPr>
          <w:rFonts w:cs="Calibri"/>
          <w:color w:val="000000"/>
          <w:lang w:eastAsia="pl-PL"/>
        </w:rPr>
        <w:t>Oświadczam, że zapoznałem się z powyższą klauzulą informacyjną – w zw</w:t>
      </w:r>
      <w:r w:rsidRPr="00A50745">
        <w:rPr>
          <w:rFonts w:cs="Calibri"/>
          <w:color w:val="000000"/>
          <w:lang w:eastAsia="pl-PL"/>
        </w:rPr>
        <w:t xml:space="preserve">iązku z </w:t>
      </w:r>
      <w:r>
        <w:rPr>
          <w:rFonts w:cs="Calibri"/>
          <w:color w:val="000000"/>
          <w:lang w:eastAsia="pl-PL"/>
        </w:rPr>
        <w:t>moim udziałem w p</w:t>
      </w:r>
      <w:r w:rsidRPr="00A50745">
        <w:rPr>
          <w:rFonts w:cs="Calibri"/>
          <w:color w:val="000000"/>
          <w:lang w:eastAsia="pl-PL"/>
        </w:rPr>
        <w:t>rojek</w:t>
      </w:r>
      <w:r>
        <w:rPr>
          <w:rFonts w:cs="Calibri"/>
          <w:color w:val="000000"/>
          <w:lang w:eastAsia="pl-PL"/>
        </w:rPr>
        <w:t xml:space="preserve">cie </w:t>
      </w:r>
      <w:r w:rsidRPr="00A50745">
        <w:rPr>
          <w:rFonts w:cs="Calibri"/>
          <w:color w:val="000000"/>
          <w:lang w:eastAsia="pl-PL"/>
        </w:rPr>
        <w:t>pn. „Ko</w:t>
      </w:r>
      <w:r>
        <w:rPr>
          <w:rFonts w:cs="Calibri"/>
          <w:color w:val="000000"/>
          <w:lang w:eastAsia="pl-PL"/>
        </w:rPr>
        <w:t xml:space="preserve">nwersja Cyfrowa Domów Kultury” </w:t>
      </w:r>
    </w:p>
    <w:p w14:paraId="7A735B67" w14:textId="21361F1C" w:rsidR="004B6DEB" w:rsidRDefault="004B6DEB" w:rsidP="004B6DEB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</w:p>
    <w:p w14:paraId="34543323" w14:textId="1D3AA7E0" w:rsidR="004B6DEB" w:rsidRDefault="004B6DEB" w:rsidP="004B6DEB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</w:p>
    <w:p w14:paraId="6E46EDE6" w14:textId="77777777" w:rsidR="004B6DEB" w:rsidRPr="003E7CCF" w:rsidRDefault="004B6DEB" w:rsidP="004B6DEB">
      <w:pPr>
        <w:spacing w:before="100" w:beforeAutospacing="1" w:after="100" w:afterAutospacing="1" w:line="240" w:lineRule="auto"/>
        <w:outlineLvl w:val="1"/>
        <w:rPr>
          <w:rFonts w:eastAsia="Times New Roman" w:cs="Calibri"/>
          <w:b/>
          <w:bCs/>
          <w:sz w:val="28"/>
          <w:lang w:eastAsia="pl-PL"/>
        </w:rPr>
      </w:pPr>
    </w:p>
    <w:p w14:paraId="51706704" w14:textId="77777777" w:rsidR="00A50745" w:rsidRPr="00A50745" w:rsidRDefault="00A50745" w:rsidP="00A50745">
      <w:pPr>
        <w:spacing w:after="0" w:line="259" w:lineRule="auto"/>
        <w:rPr>
          <w:rFonts w:cs="Calibri"/>
          <w:color w:val="000000"/>
          <w:lang w:eastAsia="pl-PL"/>
        </w:rPr>
      </w:pPr>
    </w:p>
    <w:tbl>
      <w:tblPr>
        <w:tblStyle w:val="TableGrid"/>
        <w:tblW w:w="8299" w:type="dxa"/>
        <w:tblInd w:w="744" w:type="dxa"/>
        <w:tblLook w:val="04A0" w:firstRow="1" w:lastRow="0" w:firstColumn="1" w:lastColumn="0" w:noHBand="0" w:noVBand="1"/>
      </w:tblPr>
      <w:tblGrid>
        <w:gridCol w:w="3505"/>
        <w:gridCol w:w="4662"/>
        <w:gridCol w:w="132"/>
      </w:tblGrid>
      <w:tr w:rsidR="00A50745" w:rsidRPr="00A50745" w14:paraId="4E70401D" w14:textId="77777777" w:rsidTr="00C72F1D">
        <w:trPr>
          <w:trHeight w:val="297"/>
        </w:trPr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602CDA3F" w14:textId="77777777" w:rsidR="00A50745" w:rsidRPr="00A50745" w:rsidRDefault="00A50745" w:rsidP="00A50745">
            <w:pPr>
              <w:spacing w:after="0" w:line="259" w:lineRule="auto"/>
              <w:rPr>
                <w:rFonts w:cs="Calibri"/>
                <w:color w:val="000000"/>
              </w:rPr>
            </w:pPr>
            <w:r w:rsidRPr="00A50745">
              <w:rPr>
                <w:rFonts w:cs="Calibri"/>
                <w:color w:val="000000"/>
              </w:rPr>
              <w:t xml:space="preserve">…..……………………………………… </w:t>
            </w:r>
          </w:p>
        </w:tc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</w:tcPr>
          <w:p w14:paraId="33BD7BE7" w14:textId="77777777" w:rsidR="00A50745" w:rsidRPr="00A50745" w:rsidRDefault="00A50745" w:rsidP="00A50745">
            <w:pPr>
              <w:spacing w:after="0" w:line="259" w:lineRule="auto"/>
              <w:ind w:left="87"/>
              <w:jc w:val="center"/>
              <w:rPr>
                <w:rFonts w:cs="Calibri"/>
                <w:color w:val="000000"/>
              </w:rPr>
            </w:pPr>
            <w:r w:rsidRPr="00A50745">
              <w:rPr>
                <w:rFonts w:cs="Calibri"/>
                <w:color w:val="000000"/>
              </w:rPr>
              <w:t xml:space="preserve">…………………………………………… 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</w:tcPr>
          <w:p w14:paraId="07471EAB" w14:textId="77777777" w:rsidR="00A50745" w:rsidRPr="00A50745" w:rsidRDefault="00A50745" w:rsidP="00A50745">
            <w:pPr>
              <w:spacing w:after="160" w:line="259" w:lineRule="auto"/>
              <w:rPr>
                <w:rFonts w:cs="Calibri"/>
                <w:color w:val="000000"/>
              </w:rPr>
            </w:pPr>
          </w:p>
        </w:tc>
      </w:tr>
      <w:tr w:rsidR="00A50745" w:rsidRPr="00A50745" w14:paraId="696914B5" w14:textId="77777777" w:rsidTr="00C72F1D">
        <w:trPr>
          <w:trHeight w:val="604"/>
        </w:trPr>
        <w:tc>
          <w:tcPr>
            <w:tcW w:w="3505" w:type="dxa"/>
            <w:tcBorders>
              <w:top w:val="nil"/>
              <w:left w:val="nil"/>
              <w:bottom w:val="nil"/>
              <w:right w:val="nil"/>
            </w:tcBorders>
          </w:tcPr>
          <w:p w14:paraId="43588901" w14:textId="2ABA9942" w:rsidR="00A50745" w:rsidRPr="00A50745" w:rsidRDefault="00A50745" w:rsidP="00A50745">
            <w:pPr>
              <w:spacing w:after="0" w:line="259" w:lineRule="auto"/>
              <w:ind w:left="278"/>
              <w:rPr>
                <w:rFonts w:cs="Calibri"/>
                <w:color w:val="000000"/>
                <w:sz w:val="16"/>
              </w:rPr>
            </w:pPr>
            <w:r>
              <w:rPr>
                <w:rFonts w:cs="Calibri"/>
                <w:i/>
                <w:color w:val="000000"/>
                <w:sz w:val="16"/>
              </w:rPr>
              <w:t xml:space="preserve">     </w:t>
            </w:r>
            <w:r w:rsidRPr="00A50745">
              <w:rPr>
                <w:rFonts w:cs="Calibri"/>
                <w:i/>
                <w:color w:val="000000"/>
                <w:sz w:val="16"/>
              </w:rPr>
              <w:t xml:space="preserve">MIEJSCOWOŚĆ I DATA </w:t>
            </w:r>
          </w:p>
        </w:tc>
        <w:tc>
          <w:tcPr>
            <w:tcW w:w="4663" w:type="dxa"/>
            <w:tcBorders>
              <w:top w:val="nil"/>
              <w:left w:val="nil"/>
              <w:bottom w:val="nil"/>
              <w:right w:val="nil"/>
            </w:tcBorders>
          </w:tcPr>
          <w:p w14:paraId="368CB77E" w14:textId="20DB2131" w:rsidR="00A50745" w:rsidRPr="00A50745" w:rsidRDefault="00A50745" w:rsidP="00A50745">
            <w:pPr>
              <w:tabs>
                <w:tab w:val="center" w:pos="1484"/>
                <w:tab w:val="center" w:pos="2646"/>
                <w:tab w:val="center" w:pos="3933"/>
              </w:tabs>
              <w:spacing w:after="16" w:line="259" w:lineRule="auto"/>
              <w:ind w:left="858"/>
              <w:rPr>
                <w:rFonts w:cs="Calibri"/>
                <w:color w:val="000000"/>
                <w:sz w:val="16"/>
              </w:rPr>
            </w:pPr>
            <w:r w:rsidRPr="00A50745">
              <w:rPr>
                <w:rFonts w:cs="Calibri"/>
                <w:i/>
                <w:color w:val="000000"/>
                <w:sz w:val="16"/>
              </w:rPr>
              <w:t>CZYTELN</w:t>
            </w:r>
            <w:r>
              <w:rPr>
                <w:rFonts w:cs="Calibri"/>
                <w:i/>
                <w:color w:val="000000"/>
                <w:sz w:val="16"/>
              </w:rPr>
              <w:t xml:space="preserve">Y PODPIS </w:t>
            </w:r>
            <w:r>
              <w:rPr>
                <w:rFonts w:cs="Calibri"/>
                <w:i/>
                <w:color w:val="000000"/>
                <w:sz w:val="16"/>
              </w:rPr>
              <w:tab/>
              <w:t xml:space="preserve">UCZESTNIKA  </w:t>
            </w:r>
            <w:r w:rsidRPr="00A50745">
              <w:rPr>
                <w:rFonts w:cs="Calibri"/>
                <w:i/>
                <w:color w:val="000000"/>
                <w:sz w:val="16"/>
              </w:rPr>
              <w:t>PROJEKTU</w:t>
            </w:r>
            <w:r>
              <w:rPr>
                <w:rFonts w:cs="Calibri"/>
                <w:i/>
                <w:color w:val="000000"/>
                <w:sz w:val="16"/>
              </w:rPr>
              <w:t xml:space="preserve"> P</w:t>
            </w:r>
            <w:r w:rsidRPr="00A50745">
              <w:rPr>
                <w:rFonts w:cs="Calibri"/>
                <w:i/>
                <w:color w:val="000000"/>
                <w:sz w:val="16"/>
              </w:rPr>
              <w:t xml:space="preserve">ERSONELU </w:t>
            </w:r>
            <w:r>
              <w:rPr>
                <w:rFonts w:cs="Calibri"/>
                <w:i/>
                <w:color w:val="000000"/>
                <w:sz w:val="16"/>
              </w:rPr>
              <w:t>P</w:t>
            </w:r>
            <w:r w:rsidRPr="00A50745">
              <w:rPr>
                <w:rFonts w:cs="Calibri"/>
                <w:i/>
                <w:color w:val="000000"/>
                <w:sz w:val="16"/>
              </w:rPr>
              <w:t xml:space="preserve">ROJEKTU 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</w:tcPr>
          <w:p w14:paraId="4F68253A" w14:textId="77777777" w:rsidR="00A50745" w:rsidRPr="00A50745" w:rsidRDefault="00A50745" w:rsidP="00A50745">
            <w:pPr>
              <w:spacing w:after="0" w:line="259" w:lineRule="auto"/>
              <w:jc w:val="both"/>
              <w:rPr>
                <w:rFonts w:cs="Calibri"/>
                <w:color w:val="000000"/>
                <w:sz w:val="16"/>
              </w:rPr>
            </w:pPr>
            <w:r w:rsidRPr="00A50745">
              <w:rPr>
                <w:rFonts w:cs="Calibri"/>
                <w:i/>
                <w:color w:val="000000"/>
                <w:sz w:val="16"/>
              </w:rPr>
              <w:t xml:space="preserve">/ </w:t>
            </w:r>
          </w:p>
        </w:tc>
      </w:tr>
    </w:tbl>
    <w:p w14:paraId="7F4C6082" w14:textId="77777777" w:rsidR="00A50745" w:rsidRPr="00A50745" w:rsidRDefault="00A50745" w:rsidP="00A50745">
      <w:pPr>
        <w:spacing w:after="0" w:line="259" w:lineRule="auto"/>
        <w:jc w:val="both"/>
        <w:rPr>
          <w:rFonts w:cs="Calibri"/>
          <w:color w:val="000000"/>
          <w:lang w:eastAsia="pl-PL"/>
        </w:rPr>
      </w:pPr>
    </w:p>
    <w:p w14:paraId="2A962264" w14:textId="77777777" w:rsidR="00A50745" w:rsidRPr="00A50745" w:rsidRDefault="00A50745" w:rsidP="00A50745">
      <w:pPr>
        <w:spacing w:after="143" w:line="249" w:lineRule="auto"/>
        <w:ind w:left="-15"/>
        <w:jc w:val="both"/>
        <w:rPr>
          <w:rFonts w:cs="Calibri"/>
          <w:color w:val="000000"/>
          <w:lang w:eastAsia="pl-PL"/>
        </w:rPr>
      </w:pPr>
    </w:p>
    <w:p w14:paraId="43A7AF11" w14:textId="77777777" w:rsidR="00A50745" w:rsidRPr="00C82695" w:rsidRDefault="00A50745">
      <w:pPr>
        <w:rPr>
          <w:rFonts w:ascii="Trebuchet MS" w:hAnsi="Trebuchet MS"/>
        </w:rPr>
      </w:pPr>
    </w:p>
    <w:sectPr w:rsidR="00A50745" w:rsidRPr="00C82695" w:rsidSect="00C8269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89A090" w14:textId="77777777" w:rsidR="008C111E" w:rsidRDefault="008C111E" w:rsidP="00725E46">
      <w:pPr>
        <w:spacing w:after="0" w:line="240" w:lineRule="auto"/>
      </w:pPr>
      <w:r>
        <w:separator/>
      </w:r>
    </w:p>
  </w:endnote>
  <w:endnote w:type="continuationSeparator" w:id="0">
    <w:p w14:paraId="3B6E6103" w14:textId="77777777" w:rsidR="008C111E" w:rsidRDefault="008C111E" w:rsidP="00725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4FF9F1" w14:textId="77777777" w:rsidR="008C111E" w:rsidRDefault="008C111E" w:rsidP="00725E46">
      <w:pPr>
        <w:spacing w:after="0" w:line="240" w:lineRule="auto"/>
      </w:pPr>
      <w:r>
        <w:separator/>
      </w:r>
    </w:p>
  </w:footnote>
  <w:footnote w:type="continuationSeparator" w:id="0">
    <w:p w14:paraId="6B56F12B" w14:textId="77777777" w:rsidR="008C111E" w:rsidRDefault="008C111E" w:rsidP="00725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4" w15:restartNumberingAfterBreak="0">
    <w:nsid w:val="122425F0"/>
    <w:multiLevelType w:val="multilevel"/>
    <w:tmpl w:val="25B8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EC74B9"/>
    <w:multiLevelType w:val="multilevel"/>
    <w:tmpl w:val="4A647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332F61"/>
    <w:multiLevelType w:val="multilevel"/>
    <w:tmpl w:val="D4E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446A85"/>
    <w:multiLevelType w:val="multilevel"/>
    <w:tmpl w:val="672C8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4B635950"/>
    <w:multiLevelType w:val="multilevel"/>
    <w:tmpl w:val="25B8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855523"/>
    <w:multiLevelType w:val="multilevel"/>
    <w:tmpl w:val="DC8C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AE5771"/>
    <w:multiLevelType w:val="multilevel"/>
    <w:tmpl w:val="0EB48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220F35"/>
    <w:multiLevelType w:val="multilevel"/>
    <w:tmpl w:val="25B8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5"/>
  </w:num>
  <w:num w:numId="10">
    <w:abstractNumId w:val="12"/>
  </w:num>
  <w:num w:numId="11">
    <w:abstractNumId w:val="9"/>
  </w:num>
  <w:num w:numId="12">
    <w:abstractNumId w:val="8"/>
  </w:num>
  <w:num w:numId="13">
    <w:abstractNumId w:val="13"/>
  </w:num>
  <w:num w:numId="14">
    <w:abstractNumId w:val="15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9CE"/>
    <w:rsid w:val="001929A3"/>
    <w:rsid w:val="00283E0E"/>
    <w:rsid w:val="002E2042"/>
    <w:rsid w:val="0031002E"/>
    <w:rsid w:val="00322BEA"/>
    <w:rsid w:val="00323C2A"/>
    <w:rsid w:val="00343748"/>
    <w:rsid w:val="00356F99"/>
    <w:rsid w:val="0038798B"/>
    <w:rsid w:val="003B18C0"/>
    <w:rsid w:val="004B6DEB"/>
    <w:rsid w:val="00503DA9"/>
    <w:rsid w:val="00516B16"/>
    <w:rsid w:val="0066185C"/>
    <w:rsid w:val="006D5B13"/>
    <w:rsid w:val="00725E46"/>
    <w:rsid w:val="007B0AFF"/>
    <w:rsid w:val="007B26BD"/>
    <w:rsid w:val="00807D97"/>
    <w:rsid w:val="00823FD5"/>
    <w:rsid w:val="008274B2"/>
    <w:rsid w:val="008C111E"/>
    <w:rsid w:val="008D19CE"/>
    <w:rsid w:val="00A3775F"/>
    <w:rsid w:val="00A47475"/>
    <w:rsid w:val="00A50745"/>
    <w:rsid w:val="00B167FE"/>
    <w:rsid w:val="00B3083B"/>
    <w:rsid w:val="00B63461"/>
    <w:rsid w:val="00B64322"/>
    <w:rsid w:val="00BC2222"/>
    <w:rsid w:val="00BD215A"/>
    <w:rsid w:val="00C82695"/>
    <w:rsid w:val="00C96425"/>
    <w:rsid w:val="00D263C8"/>
    <w:rsid w:val="00D72CF5"/>
    <w:rsid w:val="00DE1FE3"/>
    <w:rsid w:val="00E06FFD"/>
    <w:rsid w:val="00EB4A86"/>
    <w:rsid w:val="00ED6BA5"/>
    <w:rsid w:val="00F55D3F"/>
    <w:rsid w:val="00F72581"/>
    <w:rsid w:val="00F778CA"/>
    <w:rsid w:val="00F9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0B961"/>
  <w15:chartTrackingRefBased/>
  <w15:docId w15:val="{B2D81766-E197-42F7-87CB-44E39945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19C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8D19CE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26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26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269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26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2695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695"/>
    <w:rPr>
      <w:rFonts w:ascii="Segoe UI" w:eastAsia="Calibri" w:hAnsi="Segoe UI" w:cs="Segoe UI"/>
      <w:sz w:val="18"/>
      <w:szCs w:val="18"/>
    </w:rPr>
  </w:style>
  <w:style w:type="character" w:styleId="Pogrubienie">
    <w:name w:val="Strong"/>
    <w:uiPriority w:val="22"/>
    <w:qFormat/>
    <w:rsid w:val="00C96425"/>
    <w:rPr>
      <w:b/>
      <w:bCs/>
    </w:rPr>
  </w:style>
  <w:style w:type="character" w:customStyle="1" w:styleId="span-gray">
    <w:name w:val="span-gray"/>
    <w:rsid w:val="00C96425"/>
  </w:style>
  <w:style w:type="paragraph" w:styleId="Nagwek">
    <w:name w:val="header"/>
    <w:basedOn w:val="Normalny"/>
    <w:link w:val="NagwekZnak"/>
    <w:uiPriority w:val="99"/>
    <w:unhideWhenUsed/>
    <w:rsid w:val="00725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5E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25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5E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38798B"/>
    <w:rPr>
      <w:color w:val="0563C1" w:themeColor="hyperlink"/>
      <w:u w:val="single"/>
    </w:rPr>
  </w:style>
  <w:style w:type="table" w:customStyle="1" w:styleId="TableGrid">
    <w:name w:val="TableGrid"/>
    <w:rsid w:val="00A5074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OD@mfip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1795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Stachurski</dc:creator>
  <cp:keywords/>
  <dc:description/>
  <cp:lastModifiedBy>MDK Mława</cp:lastModifiedBy>
  <cp:revision>4</cp:revision>
  <dcterms:created xsi:type="dcterms:W3CDTF">2022-03-09T12:47:00Z</dcterms:created>
  <dcterms:modified xsi:type="dcterms:W3CDTF">2022-03-15T14:11:00Z</dcterms:modified>
</cp:coreProperties>
</file>